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EC" w:rsidRPr="009150E7" w:rsidRDefault="00634312" w:rsidP="00035AEC">
      <w:pPr>
        <w:spacing w:line="276" w:lineRule="auto"/>
        <w:jc w:val="center"/>
        <w:rPr>
          <w:rFonts w:ascii="Arial" w:hAnsi="Arial" w:cs="Arial"/>
          <w:b/>
          <w:szCs w:val="24"/>
          <w:u w:val="single"/>
        </w:rPr>
      </w:pPr>
      <w:r w:rsidRPr="009150E7">
        <w:rPr>
          <w:rFonts w:ascii="Arial" w:hAnsi="Arial" w:cs="Arial"/>
          <w:b/>
          <w:szCs w:val="24"/>
          <w:u w:val="single"/>
        </w:rPr>
        <w:t xml:space="preserve">ANEXO </w:t>
      </w:r>
      <w:r w:rsidR="009C1011">
        <w:rPr>
          <w:rFonts w:ascii="Arial" w:hAnsi="Arial" w:cs="Arial"/>
          <w:b/>
          <w:szCs w:val="24"/>
          <w:u w:val="single"/>
        </w:rPr>
        <w:t>X</w:t>
      </w:r>
      <w:r w:rsidR="00533F97">
        <w:rPr>
          <w:rFonts w:ascii="Arial" w:hAnsi="Arial" w:cs="Arial"/>
          <w:b/>
          <w:szCs w:val="24"/>
          <w:u w:val="single"/>
        </w:rPr>
        <w:t>II</w:t>
      </w:r>
    </w:p>
    <w:p w:rsidR="00035AEC" w:rsidRPr="009150E7" w:rsidRDefault="00035AEC" w:rsidP="00035AEC">
      <w:pPr>
        <w:spacing w:line="276" w:lineRule="auto"/>
        <w:jc w:val="center"/>
        <w:rPr>
          <w:rFonts w:ascii="Arial" w:hAnsi="Arial" w:cs="Arial"/>
          <w:b/>
          <w:szCs w:val="24"/>
        </w:rPr>
      </w:pPr>
    </w:p>
    <w:p w:rsidR="00035AEC" w:rsidRPr="009150E7" w:rsidRDefault="00035AEC" w:rsidP="00035AEC">
      <w:pPr>
        <w:spacing w:line="276" w:lineRule="auto"/>
        <w:jc w:val="center"/>
        <w:rPr>
          <w:rFonts w:ascii="Arial" w:hAnsi="Arial" w:cs="Arial"/>
          <w:b/>
          <w:sz w:val="22"/>
          <w:szCs w:val="22"/>
        </w:rPr>
      </w:pPr>
      <w:r w:rsidRPr="009150E7">
        <w:rPr>
          <w:rFonts w:ascii="Arial" w:hAnsi="Arial" w:cs="Arial"/>
          <w:b/>
          <w:sz w:val="22"/>
          <w:szCs w:val="22"/>
        </w:rPr>
        <w:t>COMPOSIÇÃO DO BDI</w:t>
      </w:r>
    </w:p>
    <w:p w:rsidR="00035AEC" w:rsidRPr="00FA71F6" w:rsidRDefault="00035AEC" w:rsidP="00035AEC">
      <w:pPr>
        <w:tabs>
          <w:tab w:val="left" w:pos="720"/>
        </w:tabs>
        <w:autoSpaceDE w:val="0"/>
        <w:autoSpaceDN w:val="0"/>
        <w:adjustRightInd w:val="0"/>
        <w:spacing w:line="276" w:lineRule="auto"/>
        <w:jc w:val="left"/>
        <w:rPr>
          <w:rFonts w:ascii="Arial" w:hAnsi="Arial" w:cs="Arial"/>
          <w:sz w:val="22"/>
          <w:szCs w:val="22"/>
        </w:rPr>
      </w:pPr>
    </w:p>
    <w:p w:rsidR="00FA71F6" w:rsidRPr="00FA71F6" w:rsidRDefault="00FA71F6" w:rsidP="00FA71F6">
      <w:pPr>
        <w:spacing w:line="276" w:lineRule="auto"/>
        <w:ind w:firstLine="709"/>
        <w:rPr>
          <w:rFonts w:ascii="Arial" w:hAnsi="Arial" w:cs="Arial"/>
          <w:sz w:val="22"/>
          <w:szCs w:val="22"/>
        </w:rPr>
      </w:pPr>
      <w:r w:rsidRPr="00FA71F6">
        <w:rPr>
          <w:rFonts w:ascii="Arial" w:hAnsi="Arial" w:cs="Arial"/>
          <w:sz w:val="22"/>
          <w:szCs w:val="22"/>
        </w:rPr>
        <w:t xml:space="preserve">A planilha orçamentária fornecida deverá ser preenchida pelos licitantes com custos unitários de cada item de serviço. </w:t>
      </w:r>
    </w:p>
    <w:p w:rsidR="00FA71F6" w:rsidRPr="00FA71F6" w:rsidRDefault="00FA71F6" w:rsidP="00FA71F6">
      <w:pPr>
        <w:spacing w:line="276" w:lineRule="auto"/>
        <w:ind w:firstLine="709"/>
        <w:rPr>
          <w:rFonts w:ascii="Arial" w:hAnsi="Arial" w:cs="Arial"/>
          <w:sz w:val="22"/>
          <w:szCs w:val="22"/>
        </w:rPr>
      </w:pPr>
      <w:r w:rsidRPr="00FA71F6">
        <w:rPr>
          <w:rFonts w:ascii="Arial" w:hAnsi="Arial" w:cs="Arial"/>
          <w:sz w:val="22"/>
          <w:szCs w:val="22"/>
        </w:rPr>
        <w:t xml:space="preserve">O </w:t>
      </w:r>
      <w:r w:rsidRPr="009150E7">
        <w:rPr>
          <w:rFonts w:ascii="Arial" w:hAnsi="Arial" w:cs="Arial"/>
          <w:b/>
          <w:sz w:val="22"/>
          <w:szCs w:val="22"/>
        </w:rPr>
        <w:t>BDI convencional</w:t>
      </w:r>
      <w:r w:rsidRPr="00FA71F6">
        <w:rPr>
          <w:rFonts w:ascii="Arial" w:hAnsi="Arial" w:cs="Arial"/>
          <w:sz w:val="22"/>
          <w:szCs w:val="22"/>
        </w:rPr>
        <w:t>, que incidirá sobre o somatório dos custos totais de cada item de serviço, deverá estar apresentado à parte, nos moldes deste Anexo.</w:t>
      </w:r>
    </w:p>
    <w:p w:rsidR="00FA71F6" w:rsidRPr="00FA71F6" w:rsidRDefault="00FA71F6" w:rsidP="00FA71F6">
      <w:pPr>
        <w:spacing w:line="276" w:lineRule="auto"/>
        <w:ind w:firstLine="709"/>
        <w:rPr>
          <w:rFonts w:ascii="Arial" w:hAnsi="Arial" w:cs="Arial"/>
          <w:sz w:val="22"/>
          <w:szCs w:val="22"/>
        </w:rPr>
      </w:pPr>
      <w:r w:rsidRPr="00FA71F6">
        <w:rPr>
          <w:rFonts w:ascii="Arial" w:hAnsi="Arial" w:cs="Arial"/>
          <w:sz w:val="22"/>
          <w:szCs w:val="22"/>
        </w:rPr>
        <w:t>Cada licitante deverá compor sua taxa de BDI convencional com base em fórmula apresentada adiante, levando em conta que nessa taxa deverão estar considerados, além dos impostos, as despesas indiretas não explicitadas na planilha orçamentária e o lucro.</w:t>
      </w:r>
    </w:p>
    <w:p w:rsidR="00035AEC" w:rsidRDefault="00035AEC" w:rsidP="00FA71F6">
      <w:pPr>
        <w:spacing w:line="276" w:lineRule="auto"/>
        <w:ind w:firstLine="709"/>
        <w:rPr>
          <w:rFonts w:ascii="Arial" w:hAnsi="Arial" w:cs="Arial"/>
          <w:sz w:val="22"/>
          <w:szCs w:val="22"/>
        </w:rPr>
      </w:pPr>
      <w:r w:rsidRPr="00FA71F6">
        <w:rPr>
          <w:rFonts w:ascii="Arial" w:hAnsi="Arial" w:cs="Arial"/>
          <w:sz w:val="22"/>
          <w:szCs w:val="22"/>
        </w:rPr>
        <w:t xml:space="preserve">No tocante ao recolhimento do ISSQN sobre a parcela deduzida de materiais da qual trata o Decreto nº 9.450, de 23 de novembro de 2011, da Prefeitura Municipal de Lavras, o contrato será ajustado nos termos da legislação vigente. </w:t>
      </w:r>
    </w:p>
    <w:p w:rsidR="009150E7" w:rsidRPr="00FA71F6" w:rsidRDefault="009150E7" w:rsidP="00FA71F6">
      <w:pPr>
        <w:spacing w:line="276" w:lineRule="auto"/>
        <w:ind w:firstLine="709"/>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47"/>
        <w:gridCol w:w="2307"/>
      </w:tblGrid>
      <w:tr w:rsidR="00035AEC" w:rsidRPr="00FA71F6" w:rsidTr="00E447DD">
        <w:trPr>
          <w:jc w:val="center"/>
        </w:trPr>
        <w:tc>
          <w:tcPr>
            <w:tcW w:w="364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BDI</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Administração Central</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Lucro</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Despesas Financeiras</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Garantias</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Riscos</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Seguros</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COFINS (sobre faturamento)</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PIS (sobre faturamento)</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rPr>
                <w:rFonts w:ascii="Arial" w:hAnsi="Arial" w:cs="Arial"/>
                <w:szCs w:val="22"/>
              </w:rPr>
            </w:pPr>
            <w:r w:rsidRPr="00FA71F6">
              <w:rPr>
                <w:rFonts w:ascii="Arial" w:hAnsi="Arial" w:cs="Arial"/>
                <w:sz w:val="22"/>
                <w:szCs w:val="22"/>
              </w:rPr>
              <w:t>ISS (sobre faturamento)</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 %</w:t>
            </w:r>
          </w:p>
        </w:tc>
      </w:tr>
      <w:tr w:rsidR="00651B22" w:rsidRPr="00FA71F6" w:rsidTr="00E447DD">
        <w:trPr>
          <w:jc w:val="center"/>
        </w:trPr>
        <w:tc>
          <w:tcPr>
            <w:tcW w:w="3647" w:type="dxa"/>
            <w:shd w:val="clear" w:color="auto" w:fill="auto"/>
          </w:tcPr>
          <w:p w:rsidR="00651B22" w:rsidRPr="00FA71F6" w:rsidRDefault="00651B22" w:rsidP="00E447DD">
            <w:pPr>
              <w:spacing w:line="276" w:lineRule="auto"/>
              <w:rPr>
                <w:rFonts w:ascii="Arial" w:hAnsi="Arial" w:cs="Arial"/>
                <w:szCs w:val="22"/>
              </w:rPr>
            </w:pPr>
            <w:r w:rsidRPr="00FA71F6">
              <w:rPr>
                <w:rFonts w:ascii="Arial" w:hAnsi="Arial" w:cs="Arial"/>
                <w:sz w:val="22"/>
                <w:szCs w:val="22"/>
              </w:rPr>
              <w:t>CPRB (sobre a renda bruta)</w:t>
            </w:r>
          </w:p>
        </w:tc>
        <w:tc>
          <w:tcPr>
            <w:tcW w:w="2307" w:type="dxa"/>
            <w:shd w:val="clear" w:color="auto" w:fill="auto"/>
          </w:tcPr>
          <w:p w:rsidR="00651B22" w:rsidRPr="00FA71F6" w:rsidRDefault="00651B22" w:rsidP="00E447DD">
            <w:pPr>
              <w:spacing w:line="276" w:lineRule="auto"/>
              <w:jc w:val="center"/>
              <w:rPr>
                <w:rFonts w:ascii="Arial" w:hAnsi="Arial" w:cs="Arial"/>
                <w:szCs w:val="22"/>
              </w:rPr>
            </w:pPr>
            <w:r w:rsidRPr="00FA71F6">
              <w:rPr>
                <w:rFonts w:ascii="Arial" w:hAnsi="Arial" w:cs="Arial"/>
                <w:sz w:val="22"/>
                <w:szCs w:val="22"/>
              </w:rPr>
              <w:t>X,XX %</w:t>
            </w:r>
          </w:p>
        </w:tc>
      </w:tr>
      <w:tr w:rsidR="00035AEC" w:rsidRPr="00FA71F6" w:rsidTr="00E447DD">
        <w:trPr>
          <w:jc w:val="center"/>
        </w:trPr>
        <w:tc>
          <w:tcPr>
            <w:tcW w:w="364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Total</w:t>
            </w:r>
          </w:p>
        </w:tc>
        <w:tc>
          <w:tcPr>
            <w:tcW w:w="2307" w:type="dxa"/>
            <w:shd w:val="clear" w:color="auto" w:fill="auto"/>
          </w:tcPr>
          <w:p w:rsidR="00035AEC" w:rsidRPr="00FA71F6" w:rsidRDefault="00035AEC" w:rsidP="00E447DD">
            <w:pPr>
              <w:spacing w:line="276" w:lineRule="auto"/>
              <w:jc w:val="center"/>
              <w:rPr>
                <w:rFonts w:ascii="Arial" w:hAnsi="Arial" w:cs="Arial"/>
                <w:szCs w:val="22"/>
              </w:rPr>
            </w:pPr>
            <w:r w:rsidRPr="00FA71F6">
              <w:rPr>
                <w:rFonts w:ascii="Arial" w:hAnsi="Arial" w:cs="Arial"/>
                <w:sz w:val="22"/>
                <w:szCs w:val="22"/>
              </w:rPr>
              <w:t>XX,XX %</w:t>
            </w:r>
          </w:p>
        </w:tc>
      </w:tr>
    </w:tbl>
    <w:p w:rsidR="00035AEC" w:rsidRPr="00FA71F6" w:rsidRDefault="00035AEC" w:rsidP="00035AEC">
      <w:pPr>
        <w:spacing w:line="276" w:lineRule="auto"/>
        <w:rPr>
          <w:rFonts w:ascii="Arial" w:hAnsi="Arial" w:cs="Arial"/>
          <w:sz w:val="22"/>
          <w:szCs w:val="22"/>
        </w:rPr>
      </w:pPr>
    </w:p>
    <w:p w:rsidR="00035AEC" w:rsidRPr="00FA71F6" w:rsidRDefault="00035AEC" w:rsidP="00035AEC">
      <w:pPr>
        <w:spacing w:line="276" w:lineRule="auto"/>
        <w:rPr>
          <w:rFonts w:ascii="Arial" w:hAnsi="Arial" w:cs="Arial"/>
          <w:sz w:val="22"/>
          <w:szCs w:val="22"/>
        </w:rPr>
      </w:pPr>
      <w:r w:rsidRPr="00FA71F6">
        <w:rPr>
          <w:rFonts w:ascii="Arial" w:hAnsi="Arial" w:cs="Arial"/>
          <w:sz w:val="22"/>
          <w:szCs w:val="22"/>
        </w:rPr>
        <w:t>Adotou-se a fórmula de cálculo contemplada no Acórdão 2</w:t>
      </w:r>
      <w:r w:rsidR="003E6A84" w:rsidRPr="00FA71F6">
        <w:rPr>
          <w:rFonts w:ascii="Arial" w:hAnsi="Arial" w:cs="Arial"/>
          <w:sz w:val="22"/>
          <w:szCs w:val="22"/>
        </w:rPr>
        <w:t>.622</w:t>
      </w:r>
      <w:r w:rsidRPr="00FA71F6">
        <w:rPr>
          <w:rFonts w:ascii="Arial" w:hAnsi="Arial" w:cs="Arial"/>
          <w:sz w:val="22"/>
          <w:szCs w:val="22"/>
        </w:rPr>
        <w:t>/201</w:t>
      </w:r>
      <w:r w:rsidR="003E6A84" w:rsidRPr="00FA71F6">
        <w:rPr>
          <w:rFonts w:ascii="Arial" w:hAnsi="Arial" w:cs="Arial"/>
          <w:sz w:val="22"/>
          <w:szCs w:val="22"/>
        </w:rPr>
        <w:t>3</w:t>
      </w:r>
      <w:r w:rsidRPr="00FA71F6">
        <w:rPr>
          <w:rFonts w:ascii="Arial" w:hAnsi="Arial" w:cs="Arial"/>
          <w:sz w:val="22"/>
          <w:szCs w:val="22"/>
        </w:rPr>
        <w:t xml:space="preserve">-TCU Plenário: </w:t>
      </w:r>
    </w:p>
    <w:p w:rsidR="00035AEC" w:rsidRDefault="00366476" w:rsidP="00035AEC">
      <w:pPr>
        <w:spacing w:line="276" w:lineRule="auto"/>
        <w:jc w:val="center"/>
        <w:rPr>
          <w:rFonts w:ascii="Arial" w:hAnsi="Arial" w:cs="Arial"/>
          <w:sz w:val="22"/>
          <w:szCs w:val="22"/>
        </w:rPr>
      </w:pPr>
      <w:r w:rsidRPr="00602B16">
        <w:rPr>
          <w:rFonts w:ascii="Arial" w:hAnsi="Arial" w:cs="Arial"/>
          <w:position w:val="-32"/>
          <w:sz w:val="22"/>
          <w:szCs w:val="22"/>
        </w:rPr>
        <w:object w:dxaOrig="57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5pt;height:27pt" o:ole="" fillcolor="window">
            <v:imagedata r:id="rId6" o:title=""/>
          </v:shape>
          <o:OLEObject Type="Embed" ProgID="Equation.3" ShapeID="_x0000_i1025" DrawAspect="Content" ObjectID="_1488950249" r:id="rId7"/>
        </w:object>
      </w:r>
    </w:p>
    <w:p w:rsidR="00CF195A" w:rsidRDefault="00CF195A" w:rsidP="00035AEC">
      <w:pPr>
        <w:spacing w:line="276" w:lineRule="auto"/>
        <w:jc w:val="center"/>
        <w:rPr>
          <w:rFonts w:ascii="Arial" w:hAnsi="Arial" w:cs="Arial"/>
          <w:sz w:val="22"/>
          <w:szCs w:val="22"/>
        </w:rPr>
      </w:pPr>
    </w:p>
    <w:p w:rsidR="00035AEC" w:rsidRPr="00FA71F6" w:rsidRDefault="00035AEC" w:rsidP="00035AEC">
      <w:pPr>
        <w:spacing w:line="276" w:lineRule="auto"/>
        <w:rPr>
          <w:rFonts w:ascii="Arial" w:hAnsi="Arial" w:cs="Arial"/>
          <w:sz w:val="22"/>
          <w:szCs w:val="22"/>
        </w:rPr>
      </w:pPr>
      <w:bookmarkStart w:id="0" w:name="_GoBack"/>
      <w:bookmarkEnd w:id="0"/>
      <w:r w:rsidRPr="00FA71F6">
        <w:rPr>
          <w:rFonts w:ascii="Arial" w:hAnsi="Arial" w:cs="Arial"/>
          <w:sz w:val="22"/>
          <w:szCs w:val="22"/>
        </w:rPr>
        <w:t xml:space="preserve">Onde: </w:t>
      </w:r>
    </w:p>
    <w:p w:rsidR="00035AEC" w:rsidRPr="00FA71F6" w:rsidRDefault="00035AEC" w:rsidP="00035AEC">
      <w:pPr>
        <w:spacing w:line="276" w:lineRule="auto"/>
        <w:jc w:val="left"/>
        <w:rPr>
          <w:rFonts w:ascii="Arial" w:hAnsi="Arial" w:cs="Arial"/>
          <w:sz w:val="22"/>
          <w:szCs w:val="22"/>
        </w:rPr>
      </w:pPr>
      <w:r w:rsidRPr="00FA71F6">
        <w:rPr>
          <w:rFonts w:ascii="Arial" w:hAnsi="Arial" w:cs="Arial"/>
          <w:sz w:val="22"/>
          <w:szCs w:val="22"/>
        </w:rPr>
        <w:t>AC = taxa de rateio da Administração Central;</w:t>
      </w:r>
    </w:p>
    <w:p w:rsidR="003E6A84" w:rsidRPr="00FA71F6" w:rsidRDefault="003E6A84" w:rsidP="00035AEC">
      <w:pPr>
        <w:spacing w:line="276" w:lineRule="auto"/>
        <w:jc w:val="left"/>
        <w:rPr>
          <w:rFonts w:ascii="Arial" w:hAnsi="Arial" w:cs="Arial"/>
          <w:sz w:val="22"/>
          <w:szCs w:val="22"/>
        </w:rPr>
      </w:pPr>
      <w:r w:rsidRPr="00FA71F6">
        <w:rPr>
          <w:rFonts w:ascii="Arial" w:hAnsi="Arial" w:cs="Arial"/>
          <w:sz w:val="22"/>
          <w:szCs w:val="22"/>
        </w:rPr>
        <w:t>S = taxa de seguros;</w:t>
      </w:r>
    </w:p>
    <w:p w:rsidR="00797C75" w:rsidRPr="00FA71F6" w:rsidRDefault="00797C75" w:rsidP="00035AEC">
      <w:pPr>
        <w:spacing w:line="276" w:lineRule="auto"/>
        <w:jc w:val="left"/>
        <w:rPr>
          <w:rFonts w:ascii="Arial" w:hAnsi="Arial" w:cs="Arial"/>
          <w:sz w:val="22"/>
          <w:szCs w:val="22"/>
        </w:rPr>
      </w:pPr>
      <w:r w:rsidRPr="00FA71F6">
        <w:rPr>
          <w:rFonts w:ascii="Arial" w:hAnsi="Arial" w:cs="Arial"/>
          <w:sz w:val="22"/>
          <w:szCs w:val="22"/>
        </w:rPr>
        <w:t>R = taxa de riscos;</w:t>
      </w:r>
    </w:p>
    <w:p w:rsidR="00797C75" w:rsidRPr="00FA71F6" w:rsidRDefault="00797C75" w:rsidP="00035AEC">
      <w:pPr>
        <w:spacing w:line="276" w:lineRule="auto"/>
        <w:jc w:val="left"/>
        <w:rPr>
          <w:rFonts w:ascii="Arial" w:hAnsi="Arial" w:cs="Arial"/>
          <w:sz w:val="22"/>
          <w:szCs w:val="22"/>
        </w:rPr>
      </w:pPr>
      <w:r w:rsidRPr="00FA71F6">
        <w:rPr>
          <w:rFonts w:ascii="Arial" w:hAnsi="Arial" w:cs="Arial"/>
          <w:sz w:val="22"/>
          <w:szCs w:val="22"/>
        </w:rPr>
        <w:t>G = taxa de garantia;</w:t>
      </w:r>
    </w:p>
    <w:p w:rsidR="00035AEC" w:rsidRPr="00FA71F6" w:rsidRDefault="00035AEC" w:rsidP="00035AEC">
      <w:pPr>
        <w:spacing w:line="276" w:lineRule="auto"/>
        <w:jc w:val="left"/>
        <w:rPr>
          <w:rFonts w:ascii="Arial" w:hAnsi="Arial" w:cs="Arial"/>
          <w:sz w:val="22"/>
          <w:szCs w:val="22"/>
        </w:rPr>
      </w:pPr>
      <w:r w:rsidRPr="00FA71F6">
        <w:rPr>
          <w:rFonts w:ascii="Arial" w:hAnsi="Arial" w:cs="Arial"/>
          <w:sz w:val="22"/>
          <w:szCs w:val="22"/>
        </w:rPr>
        <w:t>DF = taxa das despesas financeiras;</w:t>
      </w:r>
    </w:p>
    <w:p w:rsidR="00035AEC" w:rsidRPr="00FA71F6" w:rsidRDefault="00797C75" w:rsidP="00035AEC">
      <w:pPr>
        <w:spacing w:line="276" w:lineRule="auto"/>
        <w:jc w:val="left"/>
        <w:rPr>
          <w:rFonts w:ascii="Arial" w:hAnsi="Arial" w:cs="Arial"/>
          <w:sz w:val="22"/>
          <w:szCs w:val="22"/>
        </w:rPr>
      </w:pPr>
      <w:r w:rsidRPr="00FA71F6">
        <w:rPr>
          <w:rFonts w:ascii="Arial" w:hAnsi="Arial" w:cs="Arial"/>
          <w:sz w:val="22"/>
          <w:szCs w:val="22"/>
        </w:rPr>
        <w:t>L = taxa de lucro / remuneração</w:t>
      </w:r>
      <w:r w:rsidR="00035AEC" w:rsidRPr="00FA71F6">
        <w:rPr>
          <w:rFonts w:ascii="Arial" w:hAnsi="Arial" w:cs="Arial"/>
          <w:sz w:val="22"/>
          <w:szCs w:val="22"/>
        </w:rPr>
        <w:t>;</w:t>
      </w:r>
    </w:p>
    <w:p w:rsidR="00E14506" w:rsidRDefault="00035AEC" w:rsidP="00651B22">
      <w:pPr>
        <w:spacing w:line="276" w:lineRule="auto"/>
        <w:jc w:val="left"/>
        <w:rPr>
          <w:rFonts w:ascii="Arial" w:hAnsi="Arial" w:cs="Arial"/>
          <w:sz w:val="22"/>
          <w:szCs w:val="22"/>
        </w:rPr>
      </w:pPr>
      <w:r w:rsidRPr="00FA71F6">
        <w:rPr>
          <w:rFonts w:ascii="Arial" w:hAnsi="Arial" w:cs="Arial"/>
          <w:sz w:val="22"/>
          <w:szCs w:val="22"/>
        </w:rPr>
        <w:t>I = taxa de tributos</w:t>
      </w:r>
      <w:r w:rsidR="00797C75" w:rsidRPr="00FA71F6">
        <w:rPr>
          <w:rFonts w:ascii="Arial" w:hAnsi="Arial" w:cs="Arial"/>
          <w:sz w:val="22"/>
          <w:szCs w:val="22"/>
        </w:rPr>
        <w:t xml:space="preserve"> (PIS, COFINS</w:t>
      </w:r>
      <w:r w:rsidR="00651B22" w:rsidRPr="00FA71F6">
        <w:rPr>
          <w:rFonts w:ascii="Arial" w:hAnsi="Arial" w:cs="Arial"/>
          <w:sz w:val="22"/>
          <w:szCs w:val="22"/>
        </w:rPr>
        <w:t>,</w:t>
      </w:r>
      <w:r w:rsidR="00797C75" w:rsidRPr="00FA71F6">
        <w:rPr>
          <w:rFonts w:ascii="Arial" w:hAnsi="Arial" w:cs="Arial"/>
          <w:sz w:val="22"/>
          <w:szCs w:val="22"/>
        </w:rPr>
        <w:t xml:space="preserve"> ISS</w:t>
      </w:r>
      <w:r w:rsidR="00651B22" w:rsidRPr="00FA71F6">
        <w:rPr>
          <w:rFonts w:ascii="Arial" w:hAnsi="Arial" w:cs="Arial"/>
          <w:sz w:val="22"/>
          <w:szCs w:val="22"/>
        </w:rPr>
        <w:t xml:space="preserve"> e CPRB</w:t>
      </w:r>
      <w:r w:rsidR="00797C75" w:rsidRPr="00FA71F6">
        <w:rPr>
          <w:rFonts w:ascii="Arial" w:hAnsi="Arial" w:cs="Arial"/>
          <w:sz w:val="22"/>
          <w:szCs w:val="22"/>
        </w:rPr>
        <w:t>).</w:t>
      </w:r>
    </w:p>
    <w:p w:rsidR="009150E7" w:rsidRDefault="009150E7" w:rsidP="00651B22">
      <w:pPr>
        <w:spacing w:line="276" w:lineRule="auto"/>
        <w:jc w:val="left"/>
        <w:rPr>
          <w:rFonts w:ascii="Arial" w:hAnsi="Arial" w:cs="Arial"/>
          <w:sz w:val="22"/>
          <w:szCs w:val="22"/>
        </w:rPr>
      </w:pPr>
    </w:p>
    <w:p w:rsidR="009150E7" w:rsidRPr="00FA71F6" w:rsidRDefault="009150E7" w:rsidP="009150E7">
      <w:pPr>
        <w:spacing w:line="276" w:lineRule="auto"/>
        <w:ind w:firstLine="708"/>
        <w:rPr>
          <w:rFonts w:ascii="Arial" w:hAnsi="Arial" w:cs="Arial"/>
          <w:sz w:val="22"/>
          <w:szCs w:val="22"/>
        </w:rPr>
      </w:pPr>
      <w:r w:rsidRPr="009150E7">
        <w:rPr>
          <w:rFonts w:ascii="Arial" w:hAnsi="Arial" w:cs="Arial"/>
          <w:sz w:val="22"/>
          <w:szCs w:val="22"/>
        </w:rPr>
        <w:t xml:space="preserve">Em conformidade com a jurisprudência deste Tribunal e empregando-se a mesma fórmula e parâmetros estabelecidos no Acórdão 2.622/2013-TCU-Plenário, adotar-se-á taxa de </w:t>
      </w:r>
      <w:r w:rsidRPr="009150E7">
        <w:rPr>
          <w:rFonts w:ascii="Arial" w:hAnsi="Arial" w:cs="Arial"/>
          <w:b/>
          <w:sz w:val="22"/>
          <w:szCs w:val="22"/>
        </w:rPr>
        <w:t>BDI diferenciado</w:t>
      </w:r>
      <w:r w:rsidRPr="009150E7">
        <w:rPr>
          <w:rFonts w:ascii="Arial" w:hAnsi="Arial" w:cs="Arial"/>
          <w:sz w:val="22"/>
          <w:szCs w:val="22"/>
        </w:rPr>
        <w:t xml:space="preserve"> para os fornecimentos de equipamentos e materiais caracterizados como uma atividade acessória, como por exemplo, o fornecimento de elevadores e aparelhos de ar condicionado.</w:t>
      </w:r>
    </w:p>
    <w:sectPr w:rsidR="009150E7" w:rsidRPr="00FA71F6" w:rsidSect="004703B7">
      <w:headerReference w:type="default" r:id="rId8"/>
      <w:pgSz w:w="11906" w:h="16838"/>
      <w:pgMar w:top="720" w:right="720" w:bottom="720" w:left="128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725" w:rsidRDefault="00965725" w:rsidP="00035AEC">
      <w:r>
        <w:separator/>
      </w:r>
    </w:p>
  </w:endnote>
  <w:endnote w:type="continuationSeparator" w:id="0">
    <w:p w:rsidR="00965725" w:rsidRDefault="00965725" w:rsidP="00035A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725" w:rsidRDefault="00965725" w:rsidP="00035AEC">
      <w:r>
        <w:separator/>
      </w:r>
    </w:p>
  </w:footnote>
  <w:footnote w:type="continuationSeparator" w:id="0">
    <w:p w:rsidR="00965725" w:rsidRDefault="00965725" w:rsidP="00035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61" w:type="dxa"/>
      <w:jc w:val="center"/>
      <w:tblLayout w:type="fixed"/>
      <w:tblCellMar>
        <w:left w:w="70" w:type="dxa"/>
        <w:right w:w="70" w:type="dxa"/>
      </w:tblCellMar>
      <w:tblLook w:val="0000"/>
    </w:tblPr>
    <w:tblGrid>
      <w:gridCol w:w="1813"/>
      <w:gridCol w:w="7448"/>
    </w:tblGrid>
    <w:tr w:rsidR="00035AEC" w:rsidTr="00E447DD">
      <w:trPr>
        <w:cantSplit/>
        <w:jc w:val="center"/>
      </w:trPr>
      <w:tc>
        <w:tcPr>
          <w:tcW w:w="1813" w:type="dxa"/>
        </w:tcPr>
        <w:p w:rsidR="00035AEC" w:rsidRDefault="00035AEC" w:rsidP="00E447DD">
          <w:pPr>
            <w:spacing w:before="120"/>
            <w:rPr>
              <w:sz w:val="26"/>
            </w:rPr>
          </w:pPr>
          <w:r>
            <w:rPr>
              <w:rFonts w:ascii="Arial Narrow" w:hAnsi="Arial Narrow"/>
              <w:noProof/>
            </w:rPr>
            <w:drawing>
              <wp:inline distT="0" distB="0" distL="0" distR="0">
                <wp:extent cx="842645" cy="34988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2645" cy="349885"/>
                        </a:xfrm>
                        <a:prstGeom prst="rect">
                          <a:avLst/>
                        </a:prstGeom>
                        <a:noFill/>
                        <a:ln>
                          <a:noFill/>
                        </a:ln>
                      </pic:spPr>
                    </pic:pic>
                  </a:graphicData>
                </a:graphic>
              </wp:inline>
            </w:drawing>
          </w:r>
        </w:p>
      </w:tc>
      <w:tc>
        <w:tcPr>
          <w:tcW w:w="7448" w:type="dxa"/>
        </w:tcPr>
        <w:p w:rsidR="00035AEC" w:rsidRDefault="00035AEC" w:rsidP="00E447DD">
          <w:pPr>
            <w:pStyle w:val="Ttulo3"/>
            <w:ind w:hanging="2"/>
            <w:rPr>
              <w:rFonts w:ascii="Arial" w:hAnsi="Arial"/>
              <w:color w:val="999999"/>
            </w:rPr>
          </w:pPr>
          <w:r>
            <w:rPr>
              <w:rFonts w:ascii="Arial" w:hAnsi="Arial"/>
              <w:color w:val="999999"/>
            </w:rPr>
            <w:t>UNIVERSIDADE FEDERAL DE LAVRAS</w:t>
          </w:r>
        </w:p>
        <w:p w:rsidR="00035AEC" w:rsidRDefault="00D24C6C" w:rsidP="00E447DD">
          <w:pPr>
            <w:pStyle w:val="Ttulo3"/>
            <w:ind w:hanging="2"/>
          </w:pPr>
          <w:r>
            <w:rPr>
              <w:rFonts w:ascii="Arial" w:hAnsi="Arial"/>
              <w:color w:val="999999"/>
            </w:rPr>
            <w:t>PRÓ-REITORIA DE PLANEJAMENTO E GESTÃO</w:t>
          </w:r>
        </w:p>
      </w:tc>
    </w:tr>
  </w:tbl>
  <w:p w:rsidR="00035AEC" w:rsidRDefault="00035AEC">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35AEC"/>
    <w:rsid w:val="00035AEC"/>
    <w:rsid w:val="000D37DE"/>
    <w:rsid w:val="00366476"/>
    <w:rsid w:val="003E6A84"/>
    <w:rsid w:val="004703B7"/>
    <w:rsid w:val="004A6650"/>
    <w:rsid w:val="004E27A7"/>
    <w:rsid w:val="004F12BD"/>
    <w:rsid w:val="00533F97"/>
    <w:rsid w:val="00602B16"/>
    <w:rsid w:val="00634312"/>
    <w:rsid w:val="00651B22"/>
    <w:rsid w:val="006940BC"/>
    <w:rsid w:val="006D490B"/>
    <w:rsid w:val="006F560D"/>
    <w:rsid w:val="00702601"/>
    <w:rsid w:val="00797C75"/>
    <w:rsid w:val="007D6942"/>
    <w:rsid w:val="008C2D78"/>
    <w:rsid w:val="009150E7"/>
    <w:rsid w:val="00965725"/>
    <w:rsid w:val="009C1011"/>
    <w:rsid w:val="00B01317"/>
    <w:rsid w:val="00B55705"/>
    <w:rsid w:val="00CF195A"/>
    <w:rsid w:val="00D24C6C"/>
    <w:rsid w:val="00E14506"/>
    <w:rsid w:val="00E3603B"/>
    <w:rsid w:val="00FA71F6"/>
    <w:rsid w:val="00FC72E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EC"/>
    <w:pPr>
      <w:spacing w:after="0" w:line="240" w:lineRule="auto"/>
      <w:jc w:val="both"/>
    </w:pPr>
    <w:rPr>
      <w:rFonts w:ascii="Times New Roman" w:eastAsia="Times New Roman" w:hAnsi="Times New Roman" w:cs="Times New Roman"/>
      <w:sz w:val="24"/>
      <w:szCs w:val="20"/>
      <w:lang w:eastAsia="pt-BR"/>
    </w:rPr>
  </w:style>
  <w:style w:type="paragraph" w:styleId="Ttulo3">
    <w:name w:val="heading 3"/>
    <w:basedOn w:val="Normal"/>
    <w:next w:val="Normal"/>
    <w:link w:val="Ttulo3Char"/>
    <w:qFormat/>
    <w:rsid w:val="00035AEC"/>
    <w:pPr>
      <w:keepNext/>
      <w:jc w:val="center"/>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35AEC"/>
    <w:pPr>
      <w:tabs>
        <w:tab w:val="center" w:pos="4252"/>
        <w:tab w:val="right" w:pos="8504"/>
      </w:tabs>
    </w:pPr>
  </w:style>
  <w:style w:type="character" w:customStyle="1" w:styleId="CabealhoChar">
    <w:name w:val="Cabeçalho Char"/>
    <w:basedOn w:val="Fontepargpadro"/>
    <w:link w:val="Cabealho"/>
    <w:uiPriority w:val="99"/>
    <w:rsid w:val="00035AEC"/>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035AEC"/>
    <w:pPr>
      <w:tabs>
        <w:tab w:val="center" w:pos="4252"/>
        <w:tab w:val="right" w:pos="8504"/>
      </w:tabs>
    </w:pPr>
  </w:style>
  <w:style w:type="character" w:customStyle="1" w:styleId="RodapChar">
    <w:name w:val="Rodapé Char"/>
    <w:basedOn w:val="Fontepargpadro"/>
    <w:link w:val="Rodap"/>
    <w:uiPriority w:val="99"/>
    <w:rsid w:val="00035AEC"/>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035AEC"/>
    <w:rPr>
      <w:rFonts w:ascii="Times New Roman" w:eastAsia="Times New Roman" w:hAnsi="Times New Roman" w:cs="Times New Roman"/>
      <w:b/>
      <w:sz w:val="24"/>
      <w:szCs w:val="20"/>
      <w:lang w:eastAsia="pt-BR"/>
    </w:rPr>
  </w:style>
  <w:style w:type="paragraph" w:styleId="Textodebalo">
    <w:name w:val="Balloon Text"/>
    <w:basedOn w:val="Normal"/>
    <w:link w:val="TextodebaloChar"/>
    <w:uiPriority w:val="99"/>
    <w:semiHidden/>
    <w:unhideWhenUsed/>
    <w:rsid w:val="00035AEC"/>
    <w:rPr>
      <w:rFonts w:ascii="Tahoma" w:hAnsi="Tahoma" w:cs="Tahoma"/>
      <w:sz w:val="16"/>
      <w:szCs w:val="16"/>
    </w:rPr>
  </w:style>
  <w:style w:type="character" w:customStyle="1" w:styleId="TextodebaloChar">
    <w:name w:val="Texto de balão Char"/>
    <w:basedOn w:val="Fontepargpadro"/>
    <w:link w:val="Textodebalo"/>
    <w:uiPriority w:val="99"/>
    <w:semiHidden/>
    <w:rsid w:val="00035AEC"/>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EC"/>
    <w:pPr>
      <w:spacing w:after="0" w:line="240" w:lineRule="auto"/>
      <w:jc w:val="both"/>
    </w:pPr>
    <w:rPr>
      <w:rFonts w:ascii="Times New Roman" w:eastAsia="Times New Roman" w:hAnsi="Times New Roman" w:cs="Times New Roman"/>
      <w:sz w:val="24"/>
      <w:szCs w:val="20"/>
      <w:lang w:eastAsia="pt-BR"/>
    </w:rPr>
  </w:style>
  <w:style w:type="paragraph" w:styleId="Ttulo3">
    <w:name w:val="heading 3"/>
    <w:basedOn w:val="Normal"/>
    <w:next w:val="Normal"/>
    <w:link w:val="Ttulo3Char"/>
    <w:qFormat/>
    <w:rsid w:val="00035AEC"/>
    <w:pPr>
      <w:keepNext/>
      <w:jc w:val="center"/>
      <w:outlineLvl w:val="2"/>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35AEC"/>
    <w:pPr>
      <w:tabs>
        <w:tab w:val="center" w:pos="4252"/>
        <w:tab w:val="right" w:pos="8504"/>
      </w:tabs>
    </w:pPr>
  </w:style>
  <w:style w:type="character" w:customStyle="1" w:styleId="CabealhoChar">
    <w:name w:val="Cabeçalho Char"/>
    <w:basedOn w:val="Fontepargpadro"/>
    <w:link w:val="Cabealho"/>
    <w:uiPriority w:val="99"/>
    <w:rsid w:val="00035AEC"/>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035AEC"/>
    <w:pPr>
      <w:tabs>
        <w:tab w:val="center" w:pos="4252"/>
        <w:tab w:val="right" w:pos="8504"/>
      </w:tabs>
    </w:pPr>
  </w:style>
  <w:style w:type="character" w:customStyle="1" w:styleId="RodapChar">
    <w:name w:val="Rodapé Char"/>
    <w:basedOn w:val="Fontepargpadro"/>
    <w:link w:val="Rodap"/>
    <w:uiPriority w:val="99"/>
    <w:rsid w:val="00035AEC"/>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rsid w:val="00035AEC"/>
    <w:rPr>
      <w:rFonts w:ascii="Times New Roman" w:eastAsia="Times New Roman" w:hAnsi="Times New Roman" w:cs="Times New Roman"/>
      <w:b/>
      <w:sz w:val="24"/>
      <w:szCs w:val="20"/>
      <w:lang w:eastAsia="pt-BR"/>
    </w:rPr>
  </w:style>
  <w:style w:type="paragraph" w:styleId="Textodebalo">
    <w:name w:val="Balloon Text"/>
    <w:basedOn w:val="Normal"/>
    <w:link w:val="TextodebaloChar"/>
    <w:uiPriority w:val="99"/>
    <w:semiHidden/>
    <w:unhideWhenUsed/>
    <w:rsid w:val="00035AEC"/>
    <w:rPr>
      <w:rFonts w:ascii="Tahoma" w:hAnsi="Tahoma" w:cs="Tahoma"/>
      <w:sz w:val="16"/>
      <w:szCs w:val="16"/>
    </w:rPr>
  </w:style>
  <w:style w:type="character" w:customStyle="1" w:styleId="TextodebaloChar">
    <w:name w:val="Texto de balão Char"/>
    <w:basedOn w:val="Fontepargpadro"/>
    <w:link w:val="Textodebalo"/>
    <w:uiPriority w:val="99"/>
    <w:semiHidden/>
    <w:rsid w:val="00035AEC"/>
    <w:rPr>
      <w:rFonts w:ascii="Tahoma" w:eastAsia="Times New Roman"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275</Words>
  <Characters>1486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dc:creator>
  <cp:lastModifiedBy>Usuario</cp:lastModifiedBy>
  <cp:revision>19</cp:revision>
  <cp:lastPrinted>2014-10-22T17:06:00Z</cp:lastPrinted>
  <dcterms:created xsi:type="dcterms:W3CDTF">2013-09-11T19:51:00Z</dcterms:created>
  <dcterms:modified xsi:type="dcterms:W3CDTF">2015-03-27T11:31:00Z</dcterms:modified>
</cp:coreProperties>
</file>